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56461B">
        <w:tc>
          <w:tcPr>
            <w:tcW w:w="2405" w:type="dxa"/>
          </w:tcPr>
          <w:p w14:paraId="7136E6C4" w14:textId="77777777" w:rsidR="00CE561A" w:rsidRDefault="00CE561A" w:rsidP="0056461B">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56461B">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56461B">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56461B">
            <w:pPr>
              <w:rPr>
                <w:lang w:eastAsia="zh-CN"/>
              </w:rPr>
            </w:pPr>
            <w:r>
              <w:rPr>
                <w:lang w:eastAsia="zh-CN"/>
              </w:rPr>
              <w:t xml:space="preserve">Proposal A1-1B, </w:t>
            </w:r>
          </w:p>
          <w:p w14:paraId="238F0364" w14:textId="77777777" w:rsidR="00CE561A" w:rsidRDefault="00CE561A" w:rsidP="0056461B">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56461B">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B00FF9">
        <w:trPr>
          <w:trHeight w:val="278"/>
        </w:trPr>
        <w:tc>
          <w:tcPr>
            <w:tcW w:w="2405" w:type="dxa"/>
            <w:shd w:val="clear" w:color="auto" w:fill="FFC000"/>
          </w:tcPr>
          <w:p w14:paraId="6A50ED6B" w14:textId="77777777" w:rsidR="00BA0B3D" w:rsidRDefault="00BA0B3D" w:rsidP="00B00FF9">
            <w:pPr>
              <w:rPr>
                <w:b/>
                <w:bCs/>
              </w:rPr>
            </w:pPr>
            <w:r>
              <w:rPr>
                <w:b/>
                <w:bCs/>
              </w:rPr>
              <w:t>Company</w:t>
            </w:r>
          </w:p>
        </w:tc>
        <w:tc>
          <w:tcPr>
            <w:tcW w:w="12176" w:type="dxa"/>
            <w:shd w:val="clear" w:color="auto" w:fill="FFC000"/>
          </w:tcPr>
          <w:p w14:paraId="3DB11F74" w14:textId="77777777" w:rsidR="00BA0B3D" w:rsidRDefault="00BA0B3D" w:rsidP="00B00FF9">
            <w:pPr>
              <w:rPr>
                <w:b/>
                <w:bCs/>
              </w:rPr>
            </w:pPr>
            <w:r>
              <w:rPr>
                <w:b/>
                <w:bCs/>
              </w:rPr>
              <w:t>Comment</w:t>
            </w:r>
          </w:p>
        </w:tc>
      </w:tr>
      <w:tr w:rsidR="00BA0B3D" w14:paraId="6E89534B" w14:textId="77777777" w:rsidTr="00B00FF9">
        <w:tc>
          <w:tcPr>
            <w:tcW w:w="2405" w:type="dxa"/>
          </w:tcPr>
          <w:p w14:paraId="439CDA9E" w14:textId="77777777" w:rsidR="00BA0B3D" w:rsidRDefault="00BA0B3D" w:rsidP="00B00FF9">
            <w:pPr>
              <w:rPr>
                <w:lang w:eastAsia="zh-CN"/>
              </w:rPr>
            </w:pPr>
          </w:p>
        </w:tc>
        <w:tc>
          <w:tcPr>
            <w:tcW w:w="12176" w:type="dxa"/>
          </w:tcPr>
          <w:p w14:paraId="737BC6DF" w14:textId="77777777" w:rsidR="00BA0B3D" w:rsidRDefault="00BA0B3D" w:rsidP="00B00FF9">
            <w:pPr>
              <w:rPr>
                <w:lang w:eastAsia="zh-CN"/>
              </w:rPr>
            </w:pPr>
          </w:p>
        </w:tc>
      </w:tr>
      <w:tr w:rsidR="00BA0B3D" w14:paraId="645A1186" w14:textId="77777777" w:rsidTr="00B00FF9">
        <w:tc>
          <w:tcPr>
            <w:tcW w:w="2405" w:type="dxa"/>
          </w:tcPr>
          <w:p w14:paraId="254D4EDF" w14:textId="77777777" w:rsidR="00BA0B3D" w:rsidRDefault="00BA0B3D" w:rsidP="00B00FF9">
            <w:pPr>
              <w:rPr>
                <w:lang w:eastAsia="zh-CN"/>
              </w:rPr>
            </w:pPr>
          </w:p>
        </w:tc>
        <w:tc>
          <w:tcPr>
            <w:tcW w:w="12176" w:type="dxa"/>
          </w:tcPr>
          <w:p w14:paraId="21D786C6" w14:textId="77777777" w:rsidR="00BA0B3D" w:rsidRDefault="00BA0B3D" w:rsidP="00B00FF9">
            <w:pPr>
              <w:rPr>
                <w:lang w:eastAsia="zh-CN"/>
              </w:rPr>
            </w:pP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 xml:space="preserve">The BD/CCE budget per X-slot window is the default PDCCH monitoring budget per X=4 slots for a UE operating with 480 kHz SCS and per X=8 slots for a UE operating with 960 kHz SCS. That is, the PDCCH monitoring budget per X slots is the shared resource for monitoring both (1) type 1 </w:t>
      </w:r>
      <w:r>
        <w:rPr>
          <w:b/>
        </w:rPr>
        <w:lastRenderedPageBreak/>
        <w:t>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w:t>
            </w:r>
            <w:r>
              <w:rPr>
                <w:lang w:eastAsia="zh-CN"/>
              </w:rPr>
              <w:lastRenderedPageBreak/>
              <w:t xml:space="preserve">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 xml:space="preserve">the capability indicates the BD/CCE budget within each slot group and  at least Type 1(with dedicated RRC </w:t>
            </w:r>
            <w:r>
              <w:rPr>
                <w:rFonts w:hint="eastAsia"/>
                <w:lang w:eastAsia="zh-CN"/>
              </w:rPr>
              <w:lastRenderedPageBreak/>
              <w:t>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lastRenderedPageBreak/>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lastRenderedPageBreak/>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 xml:space="preserve">Lenovo, Motorola </w:t>
            </w:r>
            <w:r>
              <w:rPr>
                <w:lang w:eastAsia="zh-CN"/>
              </w:rPr>
              <w:lastRenderedPageBreak/>
              <w:t>Mobility</w:t>
            </w:r>
          </w:p>
        </w:tc>
        <w:tc>
          <w:tcPr>
            <w:tcW w:w="12176" w:type="dxa"/>
          </w:tcPr>
          <w:p w14:paraId="6330FFAB" w14:textId="488802E8" w:rsidR="00CF6802" w:rsidRDefault="00CF6802" w:rsidP="00A8785F">
            <w:pPr>
              <w:rPr>
                <w:lang w:eastAsia="zh-CN"/>
              </w:rPr>
            </w:pPr>
            <w:r>
              <w:rPr>
                <w:lang w:eastAsia="zh-CN"/>
              </w:rPr>
              <w:lastRenderedPageBreak/>
              <w:t>We support A1-2-1 and cannot support A1-2-2 as it will allow monitoring in any slot and will go against the very framework of multi-</w:t>
            </w:r>
            <w:r>
              <w:rPr>
                <w:lang w:eastAsia="zh-CN"/>
              </w:rPr>
              <w:lastRenderedPageBreak/>
              <w:t>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lastRenderedPageBreak/>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56461B">
        <w:tc>
          <w:tcPr>
            <w:tcW w:w="2405" w:type="dxa"/>
          </w:tcPr>
          <w:p w14:paraId="20EDF7C1" w14:textId="77777777" w:rsidR="00CE561A" w:rsidRDefault="00CE561A" w:rsidP="0056461B">
            <w:pPr>
              <w:rPr>
                <w:rFonts w:eastAsia="MS Mincho"/>
                <w:lang w:eastAsia="ja-JP"/>
              </w:rPr>
            </w:pPr>
            <w:r>
              <w:rPr>
                <w:rFonts w:eastAsia="MS Mincho"/>
                <w:lang w:eastAsia="ja-JP"/>
              </w:rPr>
              <w:t>Futurewei</w:t>
            </w:r>
          </w:p>
        </w:tc>
        <w:tc>
          <w:tcPr>
            <w:tcW w:w="12176" w:type="dxa"/>
          </w:tcPr>
          <w:p w14:paraId="64466933" w14:textId="77777777" w:rsidR="00CE561A" w:rsidRDefault="00CE561A" w:rsidP="0056461B">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56461B">
        <w:tc>
          <w:tcPr>
            <w:tcW w:w="2405" w:type="dxa"/>
          </w:tcPr>
          <w:p w14:paraId="30D8273A" w14:textId="69D5A72A" w:rsidR="00CF5E71" w:rsidRDefault="00CF5E71" w:rsidP="0056461B">
            <w:pPr>
              <w:rPr>
                <w:rFonts w:eastAsia="MS Mincho"/>
                <w:lang w:eastAsia="ja-JP"/>
              </w:rPr>
            </w:pPr>
            <w:r>
              <w:rPr>
                <w:rFonts w:eastAsia="MS Mincho"/>
                <w:lang w:eastAsia="ja-JP"/>
              </w:rPr>
              <w:t>Apple</w:t>
            </w:r>
          </w:p>
        </w:tc>
        <w:tc>
          <w:tcPr>
            <w:tcW w:w="12176" w:type="dxa"/>
          </w:tcPr>
          <w:p w14:paraId="6DB4DF25" w14:textId="02FC9A95" w:rsidR="00CF5E71" w:rsidRDefault="00CF5E71" w:rsidP="0056461B">
            <w:pPr>
              <w:rPr>
                <w:lang w:eastAsia="zh-CN"/>
              </w:rPr>
            </w:pPr>
            <w:r>
              <w:rPr>
                <w:lang w:eastAsia="zh-CN"/>
              </w:rPr>
              <w:t xml:space="preserve">Our preference will be Option A1-2-1 with both group (1) and group (2) SS sets within Y=1. To achieve this, for search space #0, there may be a need for a design modification from n and n+1 to n and n + X. However this will (a) help with UE power savings and  (b) </w:t>
            </w:r>
            <w:r>
              <w:rPr>
                <w:lang w:eastAsia="zh-CN"/>
              </w:rPr>
              <w:lastRenderedPageBreak/>
              <w:t>avoid the possibility of back-to-back slot monitoring.</w:t>
            </w:r>
          </w:p>
          <w:p w14:paraId="3DDC851B" w14:textId="2FC2F449" w:rsidR="00CF5E71" w:rsidRDefault="00CF5E71" w:rsidP="0056461B">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56461B">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lastRenderedPageBreak/>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w:t>
            </w:r>
            <w:r>
              <w:rPr>
                <w:lang w:eastAsia="zh-CN"/>
              </w:rPr>
              <w:lastRenderedPageBreak/>
              <w:t>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lastRenderedPageBreak/>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lastRenderedPageBreak/>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lastRenderedPageBreak/>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lastRenderedPageBreak/>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lastRenderedPageBreak/>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lastRenderedPageBreak/>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56461B">
        <w:tc>
          <w:tcPr>
            <w:tcW w:w="2405" w:type="dxa"/>
          </w:tcPr>
          <w:p w14:paraId="000B0EBB" w14:textId="77777777" w:rsidR="00C4604D" w:rsidRDefault="00C4604D" w:rsidP="0056461B">
            <w:pPr>
              <w:rPr>
                <w:rFonts w:eastAsia="MS Mincho"/>
                <w:lang w:eastAsia="ja-JP"/>
              </w:rPr>
            </w:pPr>
            <w:r>
              <w:rPr>
                <w:rFonts w:eastAsia="MS Mincho"/>
                <w:lang w:eastAsia="ja-JP"/>
              </w:rPr>
              <w:t>Futurewei</w:t>
            </w:r>
          </w:p>
        </w:tc>
        <w:tc>
          <w:tcPr>
            <w:tcW w:w="12176" w:type="dxa"/>
          </w:tcPr>
          <w:p w14:paraId="4340C871" w14:textId="77777777" w:rsidR="00C4604D" w:rsidRDefault="00C4604D" w:rsidP="0056461B">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lastRenderedPageBreak/>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lastRenderedPageBreak/>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lastRenderedPageBreak/>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lastRenderedPageBreak/>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lastRenderedPageBreak/>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w:t>
            </w:r>
            <w:r>
              <w:rPr>
                <w:lang w:eastAsia="zh-CN"/>
              </w:rPr>
              <w:lastRenderedPageBreak/>
              <w:t xml:space="preserve">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lastRenderedPageBreak/>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lastRenderedPageBreak/>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lastRenderedPageBreak/>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lastRenderedPageBreak/>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lastRenderedPageBreak/>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lastRenderedPageBreak/>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lastRenderedPageBreak/>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4pt;height:51pt;mso-width-percent:0;mso-height-percent:0;mso-width-percent:0;mso-height-percent:0" o:ole="">
                  <v:imagedata r:id="rId9" o:title=""/>
                </v:shape>
                <o:OLEObject Type="Embed" ProgID="Visio.Drawing.11" ShapeID="_x0000_i1025" DrawAspect="Content" ObjectID="_1695674239" r:id="rId10"/>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6" type="#_x0000_t75" alt="" style="width:466.5pt;height:85.5pt;mso-width-percent:0;mso-height-percent:0;mso-width-percent:0;mso-height-percent:0" o:ole="">
                  <v:imagedata r:id="rId11" o:title=""/>
                </v:shape>
                <o:OLEObject Type="Embed" ProgID="Visio.Drawing.11" ShapeID="_x0000_i1026" DrawAspect="Content" ObjectID="_1695674240" r:id="rId12"/>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7" type="#_x0000_t75" alt="" style="width:275pt;height:145.5pt;mso-width-percent:0;mso-height-percent:0;mso-width-percent:0;mso-height-percent:0" o:ole="">
                  <v:imagedata r:id="rId13" o:title=""/>
                </v:shape>
                <o:OLEObject Type="Embed" ProgID="Visio.Drawing.15" ShapeID="_x0000_i1027" DrawAspect="Content" ObjectID="_1695674241" r:id="rId14"/>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lastRenderedPageBreak/>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lastRenderedPageBreak/>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8" type="#_x0000_t75" alt="" style="width:400.5pt;height:121pt;mso-width-percent:0;mso-height-percent:0;mso-width-percent:0;mso-height-percent:0" o:ole="">
                  <v:imagedata r:id="rId22" o:title=""/>
                </v:shape>
                <o:OLEObject Type="Embed" ProgID="Visio.Drawing.15" ShapeID="_x0000_i1028" DrawAspect="Content" ObjectID="_1695674242"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31116E">
            <w:r>
              <w:rPr>
                <w:noProof/>
              </w:rPr>
              <w:object w:dxaOrig="9966" w:dyaOrig="1743" w14:anchorId="0FC2186B">
                <v:shape id="_x0000_i1029" type="#_x0000_t75" alt="" style="width:498pt;height:87pt;mso-width-percent:0;mso-height-percent:0;mso-width-percent:0;mso-height-percent:0" o:ole="">
                  <v:imagedata r:id="rId24" o:title=""/>
                </v:shape>
                <o:OLEObject Type="Embed" ProgID="Visio.Drawing.15" ShapeID="_x0000_i1029" DrawAspect="Content" ObjectID="_1695674243" r:id="rId25"/>
              </w:object>
            </w:r>
          </w:p>
          <w:p w14:paraId="0F040E78" w14:textId="77777777" w:rsidR="00054158" w:rsidRDefault="005B74B2">
            <w:pPr>
              <w:pStyle w:val="Caption"/>
              <w:rPr>
                <w:u w:val="single"/>
              </w:rPr>
            </w:pPr>
            <w:bookmarkStart w:id="46" w:name="_Ref83584248"/>
            <w:r>
              <w:t xml:space="preserve">Figure </w:t>
            </w:r>
            <w:fldSimple w:instr=" SEQ Figure \* ARABIC ">
              <w:r>
                <w:t>1</w:t>
              </w:r>
            </w:fldSimple>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0" type="#_x0000_t75" alt="" style="width:482.5pt;height:139.5pt;mso-width-percent:0;mso-height-percent:0;mso-width-percent:0;mso-height-percent:0" o:ole="">
                  <v:imagedata r:id="rId26" o:title=""/>
                </v:shape>
                <o:OLEObject Type="Embed" ProgID="Visio.Drawing.15" ShapeID="_x0000_i1030" DrawAspect="Content" ObjectID="_1695674244" r:id="rId27"/>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1" type="#_x0000_t75" alt="" style="width:337pt;height:156pt;mso-width-percent:0;mso-height-percent:0;mso-width-percent:0;mso-height-percent:0" o:ole="">
                  <v:imagedata r:id="rId32" o:title=""/>
                </v:shape>
                <o:OLEObject Type="Embed" ProgID="Visio.Drawing.11" ShapeID="_x0000_i1031" DrawAspect="Content" ObjectID="_1695674245" r:id="rId33"/>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2" type="#_x0000_t75" alt="" style="width:497.5pt;height:109.5pt;mso-width-percent:0;mso-height-percent:0;mso-width-percent:0;mso-height-percent:0" o:ole="">
                  <v:imagedata r:id="rId34" o:title=""/>
                </v:shape>
                <o:OLEObject Type="Embed" ProgID="Visio.Drawing.15" ShapeID="_x0000_i1032" DrawAspect="Content" ObjectID="_1695674246"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3" type="#_x0000_t75" alt="" style="width:497.5pt;height:131pt;mso-width-percent:0;mso-height-percent:0;mso-width-percent:0;mso-height-percent:0" o:ole="">
                  <v:imagedata r:id="rId36" o:title=""/>
                </v:shape>
                <o:OLEObject Type="Embed" ProgID="Visio.Drawing.15" ShapeID="_x0000_i1033" DrawAspect="Content" ObjectID="_1695674247"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4" type="#_x0000_t75" alt="" style="width:480pt;height:2in;mso-width-percent:0;mso-height-percent:0;mso-width-percent:0;mso-height-percent:0" o:ole="">
                  <v:imagedata r:id="rId38" o:title=""/>
                </v:shape>
                <o:OLEObject Type="Embed" ProgID="Visio.Drawing.15" ShapeID="_x0000_i1034" DrawAspect="Content" ObjectID="_1695674248"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5" type="#_x0000_t75" alt="" style="width:382.5pt;height:102pt;mso-width-percent:0;mso-height-percent:0;mso-width-percent:0;mso-height-percent:0" o:ole="">
                  <v:imagedata r:id="rId40" o:title=""/>
                </v:shape>
                <o:OLEObject Type="Embed" ProgID="Visio.Drawing.15" ShapeID="_x0000_i1035" DrawAspect="Content" ObjectID="_1695674249"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fldSimple w:instr=" SEQ Figure \* ARABIC ">
              <w:r>
                <w:t>1</w:t>
              </w:r>
            </w:fldSimple>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6" type="#_x0000_t75" alt="" style="width:444pt;height:373pt;mso-width-percent:0;mso-height-percent:0;mso-width-percent:0;mso-height-percent:0" o:ole="">
                  <v:imagedata r:id="rId44" o:title=""/>
                </v:shape>
                <o:OLEObject Type="Embed" ProgID="Visio.Drawing.15" ShapeID="_x0000_i1036" DrawAspect="Content" ObjectID="_1695674250" r:id="rId45"/>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7" type="#_x0000_t75" alt="" style="width:497.5pt;height:3in;mso-width-percent:0;mso-height-percent:0;mso-width-percent:0;mso-height-percent:0" o:ole="">
                  <v:imagedata r:id="rId46" o:title=""/>
                </v:shape>
                <o:OLEObject Type="Embed" ProgID="Visio.Drawing.15" ShapeID="_x0000_i1037" DrawAspect="Content" ObjectID="_1695674251" r:id="rId47"/>
              </w:object>
            </w:r>
          </w:p>
          <w:p w14:paraId="465108AF" w14:textId="77777777" w:rsidR="00054158" w:rsidRDefault="005B74B2">
            <w:pPr>
              <w:pStyle w:val="Caption"/>
            </w:pPr>
            <w:bookmarkStart w:id="101" w:name="_Ref83735207"/>
            <w:r>
              <w:t xml:space="preserve">Figure </w:t>
            </w:r>
            <w:fldSimple w:instr=" SEQ Figure \* ARABIC ">
              <w:r>
                <w:t>3</w:t>
              </w:r>
            </w:fldSimple>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8" type="#_x0000_t75" alt="" style="width:486pt;height:66.5pt;mso-width-percent:0;mso-height-percent:0;mso-width-percent:0;mso-height-percent:0" o:ole="">
                  <v:imagedata r:id="rId48" o:title=""/>
                </v:shape>
                <o:OLEObject Type="Embed" ProgID="Visio.Drawing.15" ShapeID="_x0000_i1038" DrawAspect="Content" ObjectID="_1695674252" r:id="rId49"/>
              </w:object>
            </w:r>
          </w:p>
          <w:p w14:paraId="6A50BF52" w14:textId="77777777" w:rsidR="00054158" w:rsidRDefault="005B74B2">
            <w:pPr>
              <w:pStyle w:val="Caption"/>
            </w:pPr>
            <w:bookmarkStart w:id="125" w:name="_Ref68252811"/>
            <w:r>
              <w:t xml:space="preserve">Figure </w:t>
            </w:r>
            <w:fldSimple w:instr=" SEQ Figure \* ARABIC ">
              <w:r>
                <w:t>4</w:t>
              </w:r>
            </w:fldSimple>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39" type="#_x0000_t75" alt="" style="width:42pt;height:18pt;mso-width-percent:0;mso-height-percent:0;mso-width-percent:0;mso-height-percent:0" o:ole="">
                  <v:imagedata r:id="rId50" o:title=""/>
                </v:shape>
                <o:OLEObject Type="Embed" ProgID="Equation.3" ShapeID="_x0000_i1039" DrawAspect="Content" ObjectID="_1695674253"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0" type="#_x0000_t75" alt="" style="width:42pt;height:18pt;mso-width-percent:0;mso-height-percent:0;mso-width-percent:0;mso-height-percent:0" o:ole="">
                  <v:imagedata r:id="rId50" o:title=""/>
                </v:shape>
                <o:OLEObject Type="Embed" ProgID="Equation.3" ShapeID="_x0000_i1040" DrawAspect="Content" ObjectID="_1695674254"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F87ABE">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F87ABE">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F87ABE">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F87ABE">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1" type="#_x0000_t75" alt="" style="width:480pt;height:102pt;mso-width-percent:0;mso-height-percent:0;mso-width-percent:0;mso-height-percent:0" o:ole="">
                  <v:imagedata r:id="rId57" o:title=""/>
                </v:shape>
                <o:OLEObject Type="Embed" ProgID="Visio.Drawing.15" ShapeID="_x0000_i1041" DrawAspect="Content" ObjectID="_1695674255"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2" type="#_x0000_t75" alt="" style="width:204pt;height:367.5pt;mso-width-percent:0;mso-height-percent:0;mso-width-percent:0;mso-height-percent:0" o:ole="">
                  <v:imagedata r:id="rId59" o:title=""/>
                </v:shape>
                <o:OLEObject Type="Embed" ProgID="Visio.Drawing.15" ShapeID="_x0000_i1042" DrawAspect="Content" ObjectID="_1695674256" r:id="rId60"/>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3" type="#_x0000_t75" alt="" style="width:78pt;height:13pt;mso-width-percent:0;mso-height-percent:0;mso-width-percent:0;mso-height-percent:0" o:ole="">
                  <v:imagedata r:id="rId61" o:title=""/>
                </v:shape>
                <o:OLEObject Type="Embed" ProgID="Equation.DSMT4" ShapeID="_x0000_i1043" DrawAspect="Content" ObjectID="_1695674257" r:id="rId62"/>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4" type="#_x0000_t75" alt="" style="width:78pt;height:13pt;mso-width-percent:0;mso-height-percent:0;mso-width-percent:0;mso-height-percent:0" o:ole="">
                  <v:imagedata r:id="rId61" o:title=""/>
                </v:shape>
                <o:OLEObject Type="Embed" ProgID="Equation.DSMT4" ShapeID="_x0000_i1044" DrawAspect="Content" ObjectID="_1695674258" r:id="rId63"/>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CE3AA5" w14:textId="77777777" w:rsidR="00F87ABE" w:rsidRDefault="00F87ABE" w:rsidP="00436060">
      <w:pPr>
        <w:spacing w:after="0" w:line="240" w:lineRule="auto"/>
      </w:pPr>
      <w:r>
        <w:separator/>
      </w:r>
    </w:p>
  </w:endnote>
  <w:endnote w:type="continuationSeparator" w:id="0">
    <w:p w14:paraId="76BD653A" w14:textId="77777777" w:rsidR="00F87ABE" w:rsidRDefault="00F87ABE"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default"/>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0D54C8" w14:textId="77777777" w:rsidR="00F87ABE" w:rsidRDefault="00F87ABE" w:rsidP="00436060">
      <w:pPr>
        <w:spacing w:after="0" w:line="240" w:lineRule="auto"/>
      </w:pPr>
      <w:r>
        <w:separator/>
      </w:r>
    </w:p>
  </w:footnote>
  <w:footnote w:type="continuationSeparator" w:id="0">
    <w:p w14:paraId="117E5B10" w14:textId="77777777" w:rsidR="00F87ABE" w:rsidRDefault="00F87ABE"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3"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5"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9"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0"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0"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1"/>
  </w:num>
  <w:num w:numId="4">
    <w:abstractNumId w:val="74"/>
  </w:num>
  <w:num w:numId="5">
    <w:abstractNumId w:val="56"/>
  </w:num>
  <w:num w:numId="6">
    <w:abstractNumId w:val="43"/>
  </w:num>
  <w:num w:numId="7">
    <w:abstractNumId w:val="45"/>
  </w:num>
  <w:num w:numId="8">
    <w:abstractNumId w:val="84"/>
  </w:num>
  <w:num w:numId="9">
    <w:abstractNumId w:val="46"/>
  </w:num>
  <w:num w:numId="10">
    <w:abstractNumId w:val="76"/>
  </w:num>
  <w:num w:numId="11">
    <w:abstractNumId w:val="36"/>
  </w:num>
  <w:num w:numId="12">
    <w:abstractNumId w:val="24"/>
  </w:num>
  <w:num w:numId="13">
    <w:abstractNumId w:val="34"/>
  </w:num>
  <w:num w:numId="14">
    <w:abstractNumId w:val="55"/>
  </w:num>
  <w:num w:numId="15">
    <w:abstractNumId w:val="29"/>
  </w:num>
  <w:num w:numId="16">
    <w:abstractNumId w:val="51"/>
  </w:num>
  <w:num w:numId="17">
    <w:abstractNumId w:val="68"/>
  </w:num>
  <w:num w:numId="18">
    <w:abstractNumId w:val="18"/>
  </w:num>
  <w:num w:numId="19">
    <w:abstractNumId w:val="54"/>
  </w:num>
  <w:num w:numId="20">
    <w:abstractNumId w:val="69"/>
  </w:num>
  <w:num w:numId="21">
    <w:abstractNumId w:val="35"/>
  </w:num>
  <w:num w:numId="22">
    <w:abstractNumId w:val="70"/>
  </w:num>
  <w:num w:numId="23">
    <w:abstractNumId w:val="59"/>
  </w:num>
  <w:num w:numId="24">
    <w:abstractNumId w:val="1"/>
  </w:num>
  <w:num w:numId="25">
    <w:abstractNumId w:val="53"/>
  </w:num>
  <w:num w:numId="26">
    <w:abstractNumId w:val="78"/>
  </w:num>
  <w:num w:numId="27">
    <w:abstractNumId w:val="22"/>
  </w:num>
  <w:num w:numId="28">
    <w:abstractNumId w:val="61"/>
  </w:num>
  <w:num w:numId="29">
    <w:abstractNumId w:val="42"/>
  </w:num>
  <w:num w:numId="30">
    <w:abstractNumId w:val="67"/>
  </w:num>
  <w:num w:numId="31">
    <w:abstractNumId w:val="11"/>
  </w:num>
  <w:num w:numId="32">
    <w:abstractNumId w:val="10"/>
  </w:num>
  <w:num w:numId="33">
    <w:abstractNumId w:val="0"/>
  </w:num>
  <w:num w:numId="34">
    <w:abstractNumId w:val="5"/>
  </w:num>
  <w:num w:numId="35">
    <w:abstractNumId w:val="20"/>
  </w:num>
  <w:num w:numId="36">
    <w:abstractNumId w:val="52"/>
  </w:num>
  <w:num w:numId="37">
    <w:abstractNumId w:val="73"/>
  </w:num>
  <w:num w:numId="38">
    <w:abstractNumId w:val="7"/>
  </w:num>
  <w:num w:numId="39">
    <w:abstractNumId w:val="3"/>
  </w:num>
  <w:num w:numId="40">
    <w:abstractNumId w:val="44"/>
  </w:num>
  <w:num w:numId="41">
    <w:abstractNumId w:val="77"/>
  </w:num>
  <w:num w:numId="42">
    <w:abstractNumId w:val="12"/>
  </w:num>
  <w:num w:numId="43">
    <w:abstractNumId w:val="57"/>
  </w:num>
  <w:num w:numId="44">
    <w:abstractNumId w:val="58"/>
  </w:num>
  <w:num w:numId="45">
    <w:abstractNumId w:val="31"/>
  </w:num>
  <w:num w:numId="46">
    <w:abstractNumId w:val="62"/>
  </w:num>
  <w:num w:numId="47">
    <w:abstractNumId w:val="72"/>
  </w:num>
  <w:num w:numId="48">
    <w:abstractNumId w:val="27"/>
  </w:num>
  <w:num w:numId="49">
    <w:abstractNumId w:val="71"/>
  </w:num>
  <w:num w:numId="50">
    <w:abstractNumId w:val="2"/>
  </w:num>
  <w:num w:numId="51">
    <w:abstractNumId w:val="25"/>
  </w:num>
  <w:num w:numId="52">
    <w:abstractNumId w:val="30"/>
  </w:num>
  <w:num w:numId="53">
    <w:abstractNumId w:val="17"/>
  </w:num>
  <w:num w:numId="54">
    <w:abstractNumId w:val="50"/>
  </w:num>
  <w:num w:numId="55">
    <w:abstractNumId w:val="66"/>
  </w:num>
  <w:num w:numId="56">
    <w:abstractNumId w:val="37"/>
  </w:num>
  <w:num w:numId="57">
    <w:abstractNumId w:val="63"/>
  </w:num>
  <w:num w:numId="58">
    <w:abstractNumId w:val="13"/>
  </w:num>
  <w:num w:numId="59">
    <w:abstractNumId w:val="8"/>
  </w:num>
  <w:num w:numId="60">
    <w:abstractNumId w:val="83"/>
  </w:num>
  <w:num w:numId="61">
    <w:abstractNumId w:val="49"/>
  </w:num>
  <w:num w:numId="62">
    <w:abstractNumId w:val="21"/>
  </w:num>
  <w:num w:numId="63">
    <w:abstractNumId w:val="38"/>
  </w:num>
  <w:num w:numId="64">
    <w:abstractNumId w:val="28"/>
  </w:num>
  <w:num w:numId="65">
    <w:abstractNumId w:val="79"/>
  </w:num>
  <w:num w:numId="66">
    <w:abstractNumId w:val="47"/>
  </w:num>
  <w:num w:numId="67">
    <w:abstractNumId w:val="6"/>
  </w:num>
  <w:num w:numId="68">
    <w:abstractNumId w:val="19"/>
  </w:num>
  <w:num w:numId="69">
    <w:abstractNumId w:val="40"/>
  </w:num>
  <w:num w:numId="70">
    <w:abstractNumId w:val="33"/>
  </w:num>
  <w:num w:numId="71">
    <w:abstractNumId w:val="39"/>
  </w:num>
  <w:num w:numId="72">
    <w:abstractNumId w:val="65"/>
  </w:num>
  <w:num w:numId="73">
    <w:abstractNumId w:val="23"/>
  </w:num>
  <w:num w:numId="74">
    <w:abstractNumId w:val="9"/>
  </w:num>
  <w:num w:numId="75">
    <w:abstractNumId w:val="26"/>
  </w:num>
  <w:num w:numId="76">
    <w:abstractNumId w:val="75"/>
  </w:num>
  <w:num w:numId="77">
    <w:abstractNumId w:val="15"/>
  </w:num>
  <w:num w:numId="78">
    <w:abstractNumId w:val="4"/>
  </w:num>
  <w:num w:numId="79">
    <w:abstractNumId w:val="48"/>
  </w:num>
  <w:num w:numId="80">
    <w:abstractNumId w:val="41"/>
  </w:num>
  <w:num w:numId="81">
    <w:abstractNumId w:val="16"/>
  </w:num>
  <w:num w:numId="82">
    <w:abstractNumId w:val="80"/>
  </w:num>
  <w:num w:numId="83">
    <w:abstractNumId w:val="60"/>
  </w:num>
  <w:num w:numId="84">
    <w:abstractNumId w:val="64"/>
  </w:num>
  <w:num w:numId="85">
    <w:abstractNumId w:val="82"/>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61" Type="http://schemas.openxmlformats.org/officeDocument/2006/relationships/image" Target="media/image36.wmf"/><Relationship Id="rId19" Type="http://schemas.openxmlformats.org/officeDocument/2006/relationships/image" Target="media/image9.png"/><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10" Type="http://schemas.openxmlformats.org/officeDocument/2006/relationships/oleObject" Target="embeddings/Microsoft_Visio_2003-2010_Drawing.vsd"/><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134</Pages>
  <Words>42856</Words>
  <Characters>269997</Characters>
  <Application>Microsoft Office Word</Application>
  <DocSecurity>0</DocSecurity>
  <Lines>2249</Lines>
  <Paragraphs>624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312229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2</cp:revision>
  <cp:lastPrinted>2016-08-13T07:06:00Z</cp:lastPrinted>
  <dcterms:created xsi:type="dcterms:W3CDTF">2021-10-13T21:48:00Z</dcterms:created>
  <dcterms:modified xsi:type="dcterms:W3CDTF">2021-10-13T21:48:00Z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